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73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0" w:firstLineChars="0"/>
        <w:rPr>
          <w:rFonts w:hint="default" w:ascii="仿宋_GB2312" w:hAnsi="仿宋_GB2312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3"/>
        <w:tblW w:w="9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2869"/>
        <w:gridCol w:w="2625"/>
        <w:gridCol w:w="2177"/>
      </w:tblGrid>
      <w:tr w14:paraId="7DDB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E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方正小标宋_GBK" w:cs="Times New Roman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仿宋_GB2312" w:hAnsi="仿宋_GB2312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合作金融机构申报表</w:t>
            </w:r>
            <w:bookmarkEnd w:id="0"/>
          </w:p>
        </w:tc>
      </w:tr>
      <w:tr w14:paraId="2B91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595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申请单位：（盖章）</w:t>
            </w:r>
          </w:p>
        </w:tc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18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/>
              </w:rPr>
              <w:t>填报日期：      年   月   日</w:t>
            </w:r>
          </w:p>
        </w:tc>
      </w:tr>
      <w:tr w14:paraId="4CA6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124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7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2AAE1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0E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3D7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单位地址</w:t>
            </w:r>
          </w:p>
        </w:tc>
        <w:tc>
          <w:tcPr>
            <w:tcW w:w="7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D79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637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FF5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主要负责人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5CA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5CB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申报经办人及联系电话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37E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66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1E3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对科技型企业的金融服务情况</w:t>
            </w:r>
          </w:p>
        </w:tc>
        <w:tc>
          <w:tcPr>
            <w:tcW w:w="76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01B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银行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2024、2025年末科技贷款、科技型企业贷款、科技型中小企业贷款、科技相关产业贷款的余额、户数及其同比增速；科技型中小企业贷款增量占各项贷款增量比重；当年新发放科技型中小企业贷款平均利率；专属产品、服务能力等情况。</w:t>
            </w:r>
          </w:p>
          <w:p w14:paraId="2BF25C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：2024、2025年末科技保险金额，专属产品、服务能力等情况。</w:t>
            </w:r>
          </w:p>
          <w:p w14:paraId="6A3C6A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投资机构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：2024、2025年末股权投资金额，专属子基金、服务能力等情况。</w:t>
            </w:r>
          </w:p>
        </w:tc>
      </w:tr>
      <w:tr w14:paraId="3E62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D36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科技金融顾问名录（不超过5名）</w:t>
            </w:r>
          </w:p>
        </w:tc>
        <w:tc>
          <w:tcPr>
            <w:tcW w:w="76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E7E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（包括科技金融顾问的姓名、职务、手机、电子邮箱）</w:t>
            </w:r>
          </w:p>
        </w:tc>
      </w:tr>
      <w:tr w14:paraId="5870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B9F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其他政金合作产品工作经验</w:t>
            </w:r>
          </w:p>
        </w:tc>
        <w:tc>
          <w:tcPr>
            <w:tcW w:w="7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7F2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 w14:paraId="738D8F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51"/>
              <w:jc w:val="both"/>
              <w:textAlignment w:val="top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（如有，请填写。并附相关佐证材料。）</w:t>
            </w:r>
          </w:p>
          <w:p w14:paraId="42FB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98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9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FFE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51"/>
              <w:jc w:val="both"/>
              <w:textAlignment w:val="top"/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本单位承诺所提供的资料真实有效，将严格遵守“一平台”的业务规范，对获得的“一清单”项目履行保密义务。</w:t>
            </w:r>
          </w:p>
          <w:p w14:paraId="5E14E8A2">
            <w:pPr>
              <w:keepNext w:val="0"/>
              <w:keepLines w:val="0"/>
              <w:widowControl/>
              <w:suppressLineNumbers w:val="0"/>
              <w:ind w:left="2580" w:leftChars="200" w:hanging="2160" w:hangingChars="900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</w:t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主要负责人签字：</w:t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年     月     日</w:t>
            </w:r>
          </w:p>
        </w:tc>
      </w:tr>
      <w:tr w14:paraId="08AE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EA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仿宋_GB2312" w:eastAsia="仿宋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注：数据保留至小数点后两位。</w:t>
            </w:r>
          </w:p>
        </w:tc>
      </w:tr>
    </w:tbl>
    <w:p w14:paraId="7EC733B9">
      <w:pPr>
        <w:ind w:firstLine="0" w:firstLineChars="0"/>
        <w:rPr>
          <w:rFonts w:hint="default" w:ascii="仿宋_GB2312" w:hAnsi="仿宋_GB2312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 w14:paraId="605ED6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411CF"/>
    <w:rsid w:val="79B4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autoSpaceDE w:val="0"/>
      <w:autoSpaceDN w:val="0"/>
      <w:adjustRightInd w:val="0"/>
      <w:spacing w:line="660" w:lineRule="exact"/>
      <w:ind w:firstLine="720" w:firstLineChars="200"/>
      <w:jc w:val="left"/>
    </w:pPr>
    <w:rPr>
      <w:rFonts w:eastAsia="方正楷体_GB2312"/>
      <w:kern w:val="0"/>
      <w:sz w:val="36"/>
      <w:szCs w:val="22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2025-12-26T02:23:00Z</dcterms:created>
  <dc:creator>妮妮</dc:creator>
  <cp:lastModifiedBy>妮妮</cp:lastModifiedBy>
  <dcterms:modified xsi:type="dcterms:W3CDTF">2025-12-26T02:23:55Z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5E47F5013B244D42AEDC18B36CCE3885_11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